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BD" w:rsidRPr="00713FFE" w:rsidRDefault="00AD2CD4" w:rsidP="00BF1ACB">
      <w:pPr>
        <w:ind w:firstLine="720"/>
        <w:rPr>
          <w:rFonts w:ascii="Segoe UI" w:eastAsia="MingLiU_HKSCS-ExtB" w:hAnsi="Segoe UI" w:cs="Segoe UI"/>
          <w:b/>
          <w:u w:val="single"/>
        </w:rPr>
      </w:pPr>
      <w:bookmarkStart w:id="0" w:name="_GoBack"/>
      <w:bookmarkEnd w:id="0"/>
      <w:r w:rsidRPr="00713FFE">
        <w:rPr>
          <w:rFonts w:ascii="Segoe UI" w:eastAsia="MingLiU_HKSCS-ExtB" w:hAnsi="Segoe UI" w:cs="Segoe UI"/>
          <w:b/>
          <w:u w:val="single"/>
        </w:rPr>
        <w:t>Firefighter Pension Scheme Risk Register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  <w:gridCol w:w="3686"/>
        <w:gridCol w:w="1275"/>
        <w:gridCol w:w="993"/>
        <w:gridCol w:w="2754"/>
      </w:tblGrid>
      <w:tr w:rsidR="00AD2CD4" w:rsidRPr="00AD2CD4" w:rsidTr="00AD2CD4">
        <w:tc>
          <w:tcPr>
            <w:tcW w:w="2405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Risk Area</w:t>
            </w:r>
            <w:r w:rsidR="003246A2">
              <w:rPr>
                <w:rFonts w:ascii="Segoe UI" w:eastAsia="MingLiU_HKSCS-ExtB" w:hAnsi="Segoe UI" w:cs="Segoe UI"/>
                <w:b/>
              </w:rPr>
              <w:t xml:space="preserve"> - OPERATIONS</w:t>
            </w:r>
          </w:p>
        </w:tc>
        <w:tc>
          <w:tcPr>
            <w:tcW w:w="992" w:type="dxa"/>
            <w:shd w:val="clear" w:color="auto" w:fill="DAC2EC"/>
          </w:tcPr>
          <w:p w:rsidR="00AD2CD4" w:rsidRPr="00AD2CD4" w:rsidRDefault="00AD2CD4" w:rsidP="00AD2CD4">
            <w:pPr>
              <w:rPr>
                <w:rFonts w:ascii="Segoe UI" w:eastAsia="MingLiU_HKSCS-ExtB" w:hAnsi="Segoe UI" w:cs="Segoe UI"/>
                <w:b/>
                <w:sz w:val="14"/>
                <w:szCs w:val="14"/>
              </w:rPr>
            </w:pPr>
            <w:r w:rsidRPr="00AD2CD4">
              <w:rPr>
                <w:rFonts w:ascii="Segoe UI" w:eastAsia="MingLiU_HKSCS-ExtB" w:hAnsi="Segoe UI" w:cs="Segoe UI"/>
                <w:b/>
                <w:sz w:val="14"/>
                <w:szCs w:val="14"/>
              </w:rPr>
              <w:t>Likelihood</w:t>
            </w:r>
          </w:p>
        </w:tc>
        <w:tc>
          <w:tcPr>
            <w:tcW w:w="993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Impact</w:t>
            </w:r>
          </w:p>
        </w:tc>
        <w:tc>
          <w:tcPr>
            <w:tcW w:w="850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Score</w:t>
            </w:r>
          </w:p>
        </w:tc>
        <w:tc>
          <w:tcPr>
            <w:tcW w:w="3686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Control</w:t>
            </w:r>
          </w:p>
        </w:tc>
        <w:tc>
          <w:tcPr>
            <w:tcW w:w="1275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Owner</w:t>
            </w:r>
          </w:p>
        </w:tc>
        <w:tc>
          <w:tcPr>
            <w:tcW w:w="993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Test / Review</w:t>
            </w:r>
          </w:p>
        </w:tc>
        <w:tc>
          <w:tcPr>
            <w:tcW w:w="2754" w:type="dxa"/>
            <w:shd w:val="clear" w:color="auto" w:fill="DAC2EC"/>
          </w:tcPr>
          <w:p w:rsidR="00AD2CD4" w:rsidRPr="00AD2CD4" w:rsidRDefault="00AD2CD4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Comments</w:t>
            </w:r>
          </w:p>
        </w:tc>
      </w:tr>
      <w:tr w:rsidR="000835FB" w:rsidRPr="000835FB" w:rsidTr="00713FFE">
        <w:trPr>
          <w:trHeight w:val="1183"/>
        </w:trPr>
        <w:tc>
          <w:tcPr>
            <w:tcW w:w="2405" w:type="dxa"/>
            <w:vMerge w:val="restart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Operational disaster</w:t>
            </w:r>
          </w:p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(i.e. flood/fire)</w:t>
            </w:r>
          </w:p>
        </w:tc>
        <w:tc>
          <w:tcPr>
            <w:tcW w:w="992" w:type="dxa"/>
            <w:vMerge w:val="restart"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8</w:t>
            </w:r>
          </w:p>
        </w:tc>
        <w:tc>
          <w:tcPr>
            <w:tcW w:w="3686" w:type="dxa"/>
          </w:tcPr>
          <w:p w:rsidR="000835FB" w:rsidRPr="000835FB" w:rsidRDefault="000835FB" w:rsidP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 xml:space="preserve">All records are stored electronically. Data is backed up regularly and </w:t>
            </w:r>
            <w:r>
              <w:rPr>
                <w:rFonts w:ascii="Segoe UI" w:eastAsia="MingLiU_HKSCS-ExtB" w:hAnsi="Segoe UI" w:cs="Segoe UI"/>
                <w:sz w:val="20"/>
              </w:rPr>
              <w:t>server providers also have business continuity procedures in place.</w:t>
            </w:r>
          </w:p>
        </w:tc>
        <w:tc>
          <w:tcPr>
            <w:tcW w:w="1275" w:type="dxa"/>
          </w:tcPr>
          <w:p w:rsidR="000835FB" w:rsidRDefault="009117E9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Pension</w:t>
            </w:r>
          </w:p>
          <w:p w:rsidR="009117E9" w:rsidRPr="000835FB" w:rsidRDefault="009117E9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Provider</w:t>
            </w:r>
          </w:p>
        </w:tc>
        <w:tc>
          <w:tcPr>
            <w:tcW w:w="993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Annual review</w:t>
            </w:r>
          </w:p>
        </w:tc>
        <w:tc>
          <w:tcPr>
            <w:tcW w:w="2754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Business continuity and safety/security of records is part of contract agreements</w:t>
            </w:r>
          </w:p>
        </w:tc>
      </w:tr>
      <w:tr w:rsidR="000835FB" w:rsidRPr="000835FB" w:rsidTr="00713FFE">
        <w:trPr>
          <w:trHeight w:val="2529"/>
        </w:trPr>
        <w:tc>
          <w:tcPr>
            <w:tcW w:w="2405" w:type="dxa"/>
            <w:vMerge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</w:tcPr>
          <w:p w:rsid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 xml:space="preserve">The majority of pension documents are electronic and all personnel files are about to be scanned. </w:t>
            </w:r>
          </w:p>
          <w:p w:rsid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Data is regularly backed up, can be ac</w:t>
            </w:r>
            <w:r w:rsidR="009117E9">
              <w:rPr>
                <w:rFonts w:ascii="Segoe UI" w:eastAsia="MingLiU_HKSCS-ExtB" w:hAnsi="Segoe UI" w:cs="Segoe UI"/>
                <w:sz w:val="20"/>
              </w:rPr>
              <w:t>cessed from anywhere on the</w:t>
            </w:r>
            <w:r>
              <w:rPr>
                <w:rFonts w:ascii="Segoe UI" w:eastAsia="MingLiU_HKSCS-ExtB" w:hAnsi="Segoe UI" w:cs="Segoe UI"/>
                <w:sz w:val="20"/>
              </w:rPr>
              <w:t xml:space="preserve"> network and</w:t>
            </w:r>
            <w:r w:rsidRPr="000835FB">
              <w:rPr>
                <w:rFonts w:ascii="Segoe UI" w:eastAsia="MingLiU_HKSCS-ExtB" w:hAnsi="Segoe UI" w:cs="Segoe UI"/>
                <w:sz w:val="20"/>
              </w:rPr>
              <w:t xml:space="preserve"> </w:t>
            </w:r>
            <w:r>
              <w:rPr>
                <w:rFonts w:ascii="Segoe UI" w:eastAsia="MingLiU_HKSCS-ExtB" w:hAnsi="Segoe UI" w:cs="Segoe UI"/>
                <w:sz w:val="20"/>
              </w:rPr>
              <w:t>server providers also have business continuity procedures in place.</w:t>
            </w:r>
          </w:p>
        </w:tc>
        <w:tc>
          <w:tcPr>
            <w:tcW w:w="1275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2754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 w:rsidRPr="000835FB">
              <w:rPr>
                <w:rFonts w:ascii="Segoe UI" w:eastAsia="MingLiU_HKSCS-ExtB" w:hAnsi="Segoe UI" w:cs="Segoe UI"/>
                <w:sz w:val="20"/>
              </w:rPr>
              <w:t xml:space="preserve">Business continuity and safety/security of records is part of </w:t>
            </w:r>
            <w:r>
              <w:rPr>
                <w:rFonts w:ascii="Segoe UI" w:eastAsia="MingLiU_HKSCS-ExtB" w:hAnsi="Segoe UI" w:cs="Segoe UI"/>
                <w:sz w:val="20"/>
              </w:rPr>
              <w:t xml:space="preserve">data storage </w:t>
            </w:r>
            <w:r w:rsidRPr="000835FB">
              <w:rPr>
                <w:rFonts w:ascii="Segoe UI" w:eastAsia="MingLiU_HKSCS-ExtB" w:hAnsi="Segoe UI" w:cs="Segoe UI"/>
                <w:sz w:val="20"/>
              </w:rPr>
              <w:t>contract agreements</w:t>
            </w:r>
          </w:p>
        </w:tc>
      </w:tr>
      <w:tr w:rsidR="000835FB" w:rsidRPr="000835FB" w:rsidTr="000835FB">
        <w:trPr>
          <w:trHeight w:val="962"/>
        </w:trPr>
        <w:tc>
          <w:tcPr>
            <w:tcW w:w="2405" w:type="dxa"/>
            <w:vMerge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</w:tcPr>
          <w:p w:rsidR="000835FB" w:rsidRPr="000835FB" w:rsidRDefault="000835FB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Contracts with pension provider are stored electronically and hard copy stored in Legal</w:t>
            </w:r>
          </w:p>
        </w:tc>
        <w:tc>
          <w:tcPr>
            <w:tcW w:w="1275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2754" w:type="dxa"/>
          </w:tcPr>
          <w:p w:rsidR="000835FB" w:rsidRPr="000835FB" w:rsidRDefault="000835FB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713FFE" w:rsidRPr="000835FB" w:rsidTr="00713FFE">
        <w:trPr>
          <w:trHeight w:val="880"/>
        </w:trPr>
        <w:tc>
          <w:tcPr>
            <w:tcW w:w="2405" w:type="dxa"/>
            <w:vMerge w:val="restart"/>
            <w:shd w:val="clear" w:color="auto" w:fill="F2EBF9"/>
          </w:tcPr>
          <w:p w:rsidR="009117E9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Member data incomplete or inaccurate</w:t>
            </w: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P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9117E9" w:rsidRDefault="009117E9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713FFE" w:rsidRPr="009117E9" w:rsidRDefault="00713FFE" w:rsidP="009117E9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F2EBF9"/>
          </w:tcPr>
          <w:p w:rsidR="00713FFE" w:rsidRPr="000835FB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2EBF9"/>
          </w:tcPr>
          <w:p w:rsidR="00713FFE" w:rsidRPr="000835FB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F2EBF9"/>
          </w:tcPr>
          <w:p w:rsidR="00713FFE" w:rsidRPr="000835FB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24</w:t>
            </w:r>
          </w:p>
        </w:tc>
        <w:tc>
          <w:tcPr>
            <w:tcW w:w="3686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Annual reconciliation of member data to ensure accuracy and resolve any gaps</w:t>
            </w:r>
          </w:p>
        </w:tc>
        <w:tc>
          <w:tcPr>
            <w:tcW w:w="1275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  <w:shd w:val="clear" w:color="auto" w:fill="F2EBF9"/>
          </w:tcPr>
          <w:p w:rsidR="00713FFE" w:rsidRPr="000835FB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Annual</w:t>
            </w:r>
          </w:p>
        </w:tc>
        <w:tc>
          <w:tcPr>
            <w:tcW w:w="2754" w:type="dxa"/>
            <w:shd w:val="clear" w:color="auto" w:fill="F2EBF9"/>
          </w:tcPr>
          <w:p w:rsidR="00713FFE" w:rsidRPr="000835FB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Currently, checks are completed in preparation for annual returns.</w:t>
            </w:r>
          </w:p>
        </w:tc>
      </w:tr>
      <w:tr w:rsidR="00713FFE" w:rsidRPr="000835FB" w:rsidTr="00713FFE">
        <w:trPr>
          <w:trHeight w:val="1149"/>
        </w:trPr>
        <w:tc>
          <w:tcPr>
            <w:tcW w:w="2405" w:type="dxa"/>
            <w:vMerge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Address data cleanse completed annually and any addresses found to be incorrect are investigated using a tracing agency</w:t>
            </w:r>
          </w:p>
        </w:tc>
        <w:tc>
          <w:tcPr>
            <w:tcW w:w="1275" w:type="dxa"/>
            <w:shd w:val="clear" w:color="auto" w:fill="F2EBF9"/>
          </w:tcPr>
          <w:p w:rsidR="00713FFE" w:rsidRDefault="009117E9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Pension</w:t>
            </w:r>
          </w:p>
          <w:p w:rsidR="009117E9" w:rsidRDefault="009117E9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Provider</w:t>
            </w:r>
          </w:p>
        </w:tc>
        <w:tc>
          <w:tcPr>
            <w:tcW w:w="993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Annual</w:t>
            </w:r>
          </w:p>
        </w:tc>
        <w:tc>
          <w:tcPr>
            <w:tcW w:w="2754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713FFE" w:rsidRPr="000835FB" w:rsidTr="00713FFE">
        <w:trPr>
          <w:trHeight w:val="983"/>
        </w:trPr>
        <w:tc>
          <w:tcPr>
            <w:tcW w:w="2405" w:type="dxa"/>
            <w:vMerge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  <w:shd w:val="clear" w:color="auto" w:fill="F2EBF9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  <w:shd w:val="clear" w:color="auto" w:fill="F2EBF9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  <w:shd w:val="clear" w:color="auto" w:fill="F2EBF9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Robust payroll processes in place to ensure accuracy of data sent to pension provider</w:t>
            </w:r>
          </w:p>
        </w:tc>
        <w:tc>
          <w:tcPr>
            <w:tcW w:w="1275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2754" w:type="dxa"/>
            <w:shd w:val="clear" w:color="auto" w:fill="F2EBF9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713FFE" w:rsidRPr="000835FB" w:rsidTr="00713FFE">
        <w:trPr>
          <w:trHeight w:val="983"/>
        </w:trPr>
        <w:tc>
          <w:tcPr>
            <w:tcW w:w="2405" w:type="dxa"/>
            <w:vMerge w:val="restart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lastRenderedPageBreak/>
              <w:t>Administration Failure / Maladministration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Formal agreement in place with pension provider including SLAs</w:t>
            </w:r>
          </w:p>
        </w:tc>
        <w:tc>
          <w:tcPr>
            <w:tcW w:w="1275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  <w:shd w:val="clear" w:color="auto" w:fill="auto"/>
          </w:tcPr>
          <w:p w:rsidR="00713FFE" w:rsidRDefault="00713FFE" w:rsidP="00713FFE">
            <w:pPr>
              <w:rPr>
                <w:rFonts w:ascii="Segoe UI" w:eastAsia="MingLiU_HKSCS-ExtB" w:hAnsi="Segoe UI" w:cs="Segoe UI"/>
                <w:sz w:val="20"/>
              </w:rPr>
            </w:pPr>
            <w:r w:rsidRPr="00713FFE">
              <w:rPr>
                <w:rFonts w:ascii="Segoe UI" w:eastAsia="MingLiU_HKSCS-ExtB" w:hAnsi="Segoe UI" w:cs="Segoe UI"/>
                <w:sz w:val="18"/>
              </w:rPr>
              <w:t>Quarterly</w:t>
            </w:r>
          </w:p>
        </w:tc>
        <w:tc>
          <w:tcPr>
            <w:tcW w:w="2754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 xml:space="preserve">Receive quarterly reports from the providers performance management system outlining where SLAs have been met / breached. </w:t>
            </w:r>
          </w:p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713FFE" w:rsidRPr="000835FB" w:rsidTr="00713FFE">
        <w:trPr>
          <w:trHeight w:val="983"/>
        </w:trPr>
        <w:tc>
          <w:tcPr>
            <w:tcW w:w="2405" w:type="dxa"/>
            <w:vMerge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Authority Levels and signatory lists clearly documented and up to date</w:t>
            </w:r>
          </w:p>
        </w:tc>
        <w:tc>
          <w:tcPr>
            <w:tcW w:w="1275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 / Provider</w:t>
            </w:r>
          </w:p>
        </w:tc>
        <w:tc>
          <w:tcPr>
            <w:tcW w:w="993" w:type="dxa"/>
            <w:shd w:val="clear" w:color="auto" w:fill="auto"/>
          </w:tcPr>
          <w:p w:rsidR="00713FFE" w:rsidRDefault="00713FFE" w:rsidP="00713FFE">
            <w:pPr>
              <w:rPr>
                <w:rFonts w:ascii="Segoe UI" w:eastAsia="MingLiU_HKSCS-ExtB" w:hAnsi="Segoe UI" w:cs="Segoe UI"/>
                <w:sz w:val="20"/>
              </w:rPr>
            </w:pPr>
            <w:r w:rsidRPr="00713FFE">
              <w:rPr>
                <w:rFonts w:ascii="Segoe UI" w:eastAsia="MingLiU_HKSCS-ExtB" w:hAnsi="Segoe UI" w:cs="Segoe UI"/>
                <w:sz w:val="18"/>
              </w:rPr>
              <w:t>Whe</w:t>
            </w:r>
            <w:r>
              <w:rPr>
                <w:rFonts w:ascii="Segoe UI" w:eastAsia="MingLiU_HKSCS-ExtB" w:hAnsi="Segoe UI" w:cs="Segoe UI"/>
                <w:sz w:val="18"/>
              </w:rPr>
              <w:t>n there is a change in staff or policy</w:t>
            </w:r>
          </w:p>
        </w:tc>
        <w:tc>
          <w:tcPr>
            <w:tcW w:w="2754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713FFE" w:rsidRPr="000835FB" w:rsidTr="00713FFE">
        <w:trPr>
          <w:trHeight w:val="983"/>
        </w:trPr>
        <w:tc>
          <w:tcPr>
            <w:tcW w:w="2405" w:type="dxa"/>
            <w:vMerge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Review Pension Providers audit reports</w:t>
            </w:r>
          </w:p>
        </w:tc>
        <w:tc>
          <w:tcPr>
            <w:tcW w:w="1275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  <w:shd w:val="clear" w:color="auto" w:fill="auto"/>
          </w:tcPr>
          <w:p w:rsidR="00713FFE" w:rsidRPr="00713FFE" w:rsidRDefault="00713FFE" w:rsidP="00713FFE">
            <w:pPr>
              <w:rPr>
                <w:rFonts w:ascii="Segoe UI" w:eastAsia="MingLiU_HKSCS-ExtB" w:hAnsi="Segoe UI" w:cs="Segoe UI"/>
                <w:sz w:val="18"/>
              </w:rPr>
            </w:pPr>
          </w:p>
        </w:tc>
        <w:tc>
          <w:tcPr>
            <w:tcW w:w="2754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713FFE" w:rsidRPr="000835FB" w:rsidTr="00713FFE">
        <w:trPr>
          <w:trHeight w:val="983"/>
        </w:trPr>
        <w:tc>
          <w:tcPr>
            <w:tcW w:w="2405" w:type="dxa"/>
            <w:vMerge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3FFE" w:rsidRDefault="00713FFE" w:rsidP="00AD2CD4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Close management of administration contract</w:t>
            </w:r>
          </w:p>
        </w:tc>
        <w:tc>
          <w:tcPr>
            <w:tcW w:w="1275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  <w:shd w:val="clear" w:color="auto" w:fill="auto"/>
          </w:tcPr>
          <w:p w:rsidR="00713FFE" w:rsidRPr="00713FFE" w:rsidRDefault="00713FFE" w:rsidP="00713FFE">
            <w:pPr>
              <w:rPr>
                <w:rFonts w:ascii="Segoe UI" w:eastAsia="MingLiU_HKSCS-ExtB" w:hAnsi="Segoe UI" w:cs="Segoe UI"/>
                <w:sz w:val="18"/>
              </w:rPr>
            </w:pPr>
            <w:r>
              <w:rPr>
                <w:rFonts w:ascii="Segoe UI" w:eastAsia="MingLiU_HKSCS-ExtB" w:hAnsi="Segoe UI" w:cs="Segoe UI"/>
                <w:sz w:val="18"/>
              </w:rPr>
              <w:t>Quarterly</w:t>
            </w:r>
          </w:p>
        </w:tc>
        <w:tc>
          <w:tcPr>
            <w:tcW w:w="2754" w:type="dxa"/>
            <w:shd w:val="clear" w:color="auto" w:fill="auto"/>
          </w:tcPr>
          <w:p w:rsidR="00713FFE" w:rsidRDefault="00713FFE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Scheduled quarterly contract meetings with provider.</w:t>
            </w:r>
          </w:p>
        </w:tc>
      </w:tr>
    </w:tbl>
    <w:p w:rsidR="00AD2CD4" w:rsidRDefault="00AD2CD4">
      <w:pPr>
        <w:rPr>
          <w:rFonts w:ascii="Segoe UI" w:eastAsia="MingLiU_HKSCS-ExtB" w:hAnsi="Segoe UI" w:cs="Segoe UI"/>
          <w:color w:val="7030A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  <w:gridCol w:w="3686"/>
        <w:gridCol w:w="1275"/>
        <w:gridCol w:w="993"/>
        <w:gridCol w:w="2754"/>
      </w:tblGrid>
      <w:tr w:rsidR="003246A2" w:rsidRPr="000835FB" w:rsidTr="003246A2">
        <w:trPr>
          <w:trHeight w:val="235"/>
        </w:trPr>
        <w:tc>
          <w:tcPr>
            <w:tcW w:w="2405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Risk Area – FINANCIAL</w:t>
            </w:r>
          </w:p>
        </w:tc>
        <w:tc>
          <w:tcPr>
            <w:tcW w:w="992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  <w:sz w:val="14"/>
                <w:szCs w:val="14"/>
              </w:rPr>
            </w:pPr>
            <w:r w:rsidRPr="00AD2CD4">
              <w:rPr>
                <w:rFonts w:ascii="Segoe UI" w:eastAsia="MingLiU_HKSCS-ExtB" w:hAnsi="Segoe UI" w:cs="Segoe UI"/>
                <w:b/>
                <w:sz w:val="14"/>
                <w:szCs w:val="14"/>
              </w:rPr>
              <w:t>Likelihood</w:t>
            </w:r>
          </w:p>
        </w:tc>
        <w:tc>
          <w:tcPr>
            <w:tcW w:w="993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Impact</w:t>
            </w:r>
          </w:p>
        </w:tc>
        <w:tc>
          <w:tcPr>
            <w:tcW w:w="850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Score</w:t>
            </w:r>
          </w:p>
        </w:tc>
        <w:tc>
          <w:tcPr>
            <w:tcW w:w="3686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Control</w:t>
            </w:r>
          </w:p>
        </w:tc>
        <w:tc>
          <w:tcPr>
            <w:tcW w:w="1275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Owner</w:t>
            </w:r>
          </w:p>
        </w:tc>
        <w:tc>
          <w:tcPr>
            <w:tcW w:w="993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Test / Review</w:t>
            </w:r>
          </w:p>
        </w:tc>
        <w:tc>
          <w:tcPr>
            <w:tcW w:w="2754" w:type="dxa"/>
            <w:shd w:val="clear" w:color="auto" w:fill="DAC2EC"/>
          </w:tcPr>
          <w:p w:rsidR="003246A2" w:rsidRPr="00AD2CD4" w:rsidRDefault="003246A2" w:rsidP="003246A2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Comments</w:t>
            </w:r>
          </w:p>
        </w:tc>
      </w:tr>
      <w:tr w:rsidR="00713FFE" w:rsidRPr="000835FB" w:rsidTr="00A6797D">
        <w:trPr>
          <w:trHeight w:val="983"/>
        </w:trPr>
        <w:tc>
          <w:tcPr>
            <w:tcW w:w="2405" w:type="dxa"/>
            <w:shd w:val="clear" w:color="auto" w:fill="auto"/>
          </w:tcPr>
          <w:p w:rsidR="00713FFE" w:rsidRDefault="003246A2" w:rsidP="00A6797D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 xml:space="preserve">Excessive charges by provider </w:t>
            </w:r>
          </w:p>
        </w:tc>
        <w:tc>
          <w:tcPr>
            <w:tcW w:w="992" w:type="dxa"/>
            <w:shd w:val="clear" w:color="auto" w:fill="auto"/>
          </w:tcPr>
          <w:p w:rsidR="00713FFE" w:rsidRDefault="003246A2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13FFE" w:rsidRDefault="003246A2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FFE" w:rsidRDefault="003246A2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246A2" w:rsidRDefault="003246A2" w:rsidP="003246A2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 xml:space="preserve">Contracts are governed by OJEU rules and are often limited to 2 years with the option to extend, meaning providers are regularly reviewed.  </w:t>
            </w:r>
          </w:p>
          <w:p w:rsidR="003246A2" w:rsidRDefault="003246A2" w:rsidP="003246A2">
            <w:pPr>
              <w:rPr>
                <w:rFonts w:ascii="Segoe UI" w:eastAsia="MingLiU_HKSCS-ExtB" w:hAnsi="Segoe UI" w:cs="Segoe UI"/>
                <w:sz w:val="20"/>
              </w:rPr>
            </w:pPr>
          </w:p>
          <w:p w:rsidR="00713FFE" w:rsidRDefault="003246A2" w:rsidP="003246A2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 xml:space="preserve">Contract prices and any </w:t>
            </w:r>
            <w:proofErr w:type="spellStart"/>
            <w:r>
              <w:rPr>
                <w:rFonts w:ascii="Segoe UI" w:eastAsia="MingLiU_HKSCS-ExtB" w:hAnsi="Segoe UI" w:cs="Segoe UI"/>
                <w:sz w:val="20"/>
              </w:rPr>
              <w:t>adhoc</w:t>
            </w:r>
            <w:proofErr w:type="spellEnd"/>
            <w:r>
              <w:rPr>
                <w:rFonts w:ascii="Segoe UI" w:eastAsia="MingLiU_HKSCS-ExtB" w:hAnsi="Segoe UI" w:cs="Segoe UI"/>
                <w:sz w:val="20"/>
              </w:rPr>
              <w:t xml:space="preserve"> scenarios where additional charges may be incurred are laid out in the contract terms.</w:t>
            </w:r>
          </w:p>
          <w:p w:rsidR="003246A2" w:rsidRDefault="003246A2" w:rsidP="003246A2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13FFE" w:rsidRDefault="003246A2" w:rsidP="00A6797D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Scheme Manager</w:t>
            </w:r>
          </w:p>
        </w:tc>
        <w:tc>
          <w:tcPr>
            <w:tcW w:w="993" w:type="dxa"/>
            <w:shd w:val="clear" w:color="auto" w:fill="auto"/>
          </w:tcPr>
          <w:p w:rsidR="00713FFE" w:rsidRPr="00713FFE" w:rsidRDefault="003246A2" w:rsidP="00A6797D">
            <w:pPr>
              <w:rPr>
                <w:rFonts w:ascii="Segoe UI" w:eastAsia="MingLiU_HKSCS-ExtB" w:hAnsi="Segoe UI" w:cs="Segoe UI"/>
                <w:sz w:val="18"/>
              </w:rPr>
            </w:pPr>
            <w:r>
              <w:rPr>
                <w:rFonts w:ascii="Segoe UI" w:eastAsia="MingLiU_HKSCS-ExtB" w:hAnsi="Segoe UI" w:cs="Segoe UI"/>
                <w:sz w:val="18"/>
              </w:rPr>
              <w:t>Term of the Contract</w:t>
            </w:r>
          </w:p>
        </w:tc>
        <w:tc>
          <w:tcPr>
            <w:tcW w:w="2754" w:type="dxa"/>
            <w:shd w:val="clear" w:color="auto" w:fill="auto"/>
          </w:tcPr>
          <w:p w:rsidR="00713FFE" w:rsidRDefault="003246A2" w:rsidP="00A6797D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 xml:space="preserve">It is always possible that changes to pension </w:t>
            </w:r>
            <w:proofErr w:type="spellStart"/>
            <w:r>
              <w:rPr>
                <w:rFonts w:ascii="Segoe UI" w:eastAsia="MingLiU_HKSCS-ExtB" w:hAnsi="Segoe UI" w:cs="Segoe UI"/>
                <w:sz w:val="20"/>
              </w:rPr>
              <w:t>regs</w:t>
            </w:r>
            <w:proofErr w:type="spellEnd"/>
            <w:r>
              <w:rPr>
                <w:rFonts w:ascii="Segoe UI" w:eastAsia="MingLiU_HKSCS-ExtB" w:hAnsi="Segoe UI" w:cs="Segoe UI"/>
                <w:sz w:val="20"/>
              </w:rPr>
              <w:t xml:space="preserve"> or tax </w:t>
            </w:r>
            <w:proofErr w:type="spellStart"/>
            <w:r>
              <w:rPr>
                <w:rFonts w:ascii="Segoe UI" w:eastAsia="MingLiU_HKSCS-ExtB" w:hAnsi="Segoe UI" w:cs="Segoe UI"/>
                <w:sz w:val="20"/>
              </w:rPr>
              <w:t>regs</w:t>
            </w:r>
            <w:proofErr w:type="spellEnd"/>
            <w:r>
              <w:rPr>
                <w:rFonts w:ascii="Segoe UI" w:eastAsia="MingLiU_HKSCS-ExtB" w:hAnsi="Segoe UI" w:cs="Segoe UI"/>
                <w:sz w:val="20"/>
              </w:rPr>
              <w:t xml:space="preserve"> will incur additional work for the provider and therefore unexpected costs for the FRA i.e. GMP reconciliation.</w:t>
            </w:r>
          </w:p>
        </w:tc>
      </w:tr>
      <w:tr w:rsidR="003246A2" w:rsidRPr="000835FB" w:rsidTr="003246A2">
        <w:trPr>
          <w:trHeight w:val="983"/>
        </w:trPr>
        <w:tc>
          <w:tcPr>
            <w:tcW w:w="2405" w:type="dxa"/>
            <w:shd w:val="clear" w:color="auto" w:fill="F2EBF9"/>
          </w:tcPr>
          <w:p w:rsidR="003246A2" w:rsidRDefault="003246A2" w:rsidP="00A6797D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lastRenderedPageBreak/>
              <w:t>Fraud / Fraudulent behaviour</w:t>
            </w:r>
          </w:p>
        </w:tc>
        <w:tc>
          <w:tcPr>
            <w:tcW w:w="992" w:type="dxa"/>
            <w:shd w:val="clear" w:color="auto" w:fill="F2EBF9"/>
          </w:tcPr>
          <w:p w:rsidR="003246A2" w:rsidRDefault="003246A2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2</w:t>
            </w:r>
          </w:p>
        </w:tc>
        <w:tc>
          <w:tcPr>
            <w:tcW w:w="993" w:type="dxa"/>
            <w:shd w:val="clear" w:color="auto" w:fill="F2EBF9"/>
          </w:tcPr>
          <w:p w:rsidR="003246A2" w:rsidRDefault="003246A2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8</w:t>
            </w:r>
          </w:p>
        </w:tc>
        <w:tc>
          <w:tcPr>
            <w:tcW w:w="850" w:type="dxa"/>
            <w:shd w:val="clear" w:color="auto" w:fill="F2EBF9"/>
          </w:tcPr>
          <w:p w:rsidR="003246A2" w:rsidRDefault="003246A2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16</w:t>
            </w:r>
          </w:p>
        </w:tc>
        <w:tc>
          <w:tcPr>
            <w:tcW w:w="3686" w:type="dxa"/>
            <w:shd w:val="clear" w:color="auto" w:fill="F2EBF9"/>
          </w:tcPr>
          <w:p w:rsidR="003246A2" w:rsidRDefault="003246A2" w:rsidP="003246A2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1275" w:type="dxa"/>
            <w:shd w:val="clear" w:color="auto" w:fill="F2EBF9"/>
          </w:tcPr>
          <w:p w:rsidR="003246A2" w:rsidRDefault="003246A2" w:rsidP="00A6797D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shd w:val="clear" w:color="auto" w:fill="F2EBF9"/>
          </w:tcPr>
          <w:p w:rsidR="003246A2" w:rsidRDefault="003246A2" w:rsidP="00A6797D">
            <w:pPr>
              <w:rPr>
                <w:rFonts w:ascii="Segoe UI" w:eastAsia="MingLiU_HKSCS-ExtB" w:hAnsi="Segoe UI" w:cs="Segoe UI"/>
                <w:sz w:val="18"/>
              </w:rPr>
            </w:pPr>
          </w:p>
        </w:tc>
        <w:tc>
          <w:tcPr>
            <w:tcW w:w="2754" w:type="dxa"/>
            <w:shd w:val="clear" w:color="auto" w:fill="F2EBF9"/>
          </w:tcPr>
          <w:p w:rsidR="003246A2" w:rsidRDefault="003246A2" w:rsidP="00A6797D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  <w:tr w:rsidR="00B97650" w:rsidRPr="000835FB" w:rsidTr="00B97650">
        <w:trPr>
          <w:trHeight w:val="983"/>
        </w:trPr>
        <w:tc>
          <w:tcPr>
            <w:tcW w:w="2405" w:type="dxa"/>
            <w:shd w:val="clear" w:color="auto" w:fill="auto"/>
          </w:tcPr>
          <w:p w:rsidR="00B97650" w:rsidRDefault="00D34353" w:rsidP="00D34353">
            <w:p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Costs incurred due to f</w:t>
            </w:r>
            <w:r w:rsidR="00A6797D">
              <w:rPr>
                <w:rFonts w:ascii="Segoe UI" w:eastAsia="MingLiU_HKSCS-ExtB" w:hAnsi="Segoe UI" w:cs="Segoe UI"/>
                <w:sz w:val="20"/>
              </w:rPr>
              <w:t xml:space="preserve">ailure to apply scheme/tax rules correctly or in </w:t>
            </w:r>
            <w:r>
              <w:rPr>
                <w:rFonts w:ascii="Segoe UI" w:eastAsia="MingLiU_HKSCS-ExtB" w:hAnsi="Segoe UI" w:cs="Segoe UI"/>
                <w:sz w:val="20"/>
              </w:rPr>
              <w:t>a timely manner</w:t>
            </w:r>
          </w:p>
        </w:tc>
        <w:tc>
          <w:tcPr>
            <w:tcW w:w="992" w:type="dxa"/>
            <w:shd w:val="clear" w:color="auto" w:fill="auto"/>
          </w:tcPr>
          <w:p w:rsidR="00B97650" w:rsidRDefault="00A6797D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7650" w:rsidRDefault="00A6797D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97650" w:rsidRDefault="00A6797D" w:rsidP="00A6797D">
            <w:pPr>
              <w:jc w:val="center"/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A6797D" w:rsidRDefault="00A6797D" w:rsidP="003246A2">
            <w:pPr>
              <w:pStyle w:val="ListParagraph"/>
              <w:numPr>
                <w:ilvl w:val="0"/>
                <w:numId w:val="1"/>
              </w:num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Keep up to date with changes</w:t>
            </w:r>
          </w:p>
          <w:p w:rsidR="00A6797D" w:rsidRDefault="00A6797D" w:rsidP="003246A2">
            <w:pPr>
              <w:pStyle w:val="ListParagraph"/>
              <w:numPr>
                <w:ilvl w:val="0"/>
                <w:numId w:val="1"/>
              </w:numPr>
              <w:rPr>
                <w:rFonts w:ascii="Segoe UI" w:eastAsia="MingLiU_HKSCS-ExtB" w:hAnsi="Segoe UI" w:cs="Segoe UI"/>
                <w:sz w:val="20"/>
              </w:rPr>
            </w:pPr>
            <w:r w:rsidRPr="00A6797D">
              <w:rPr>
                <w:rFonts w:ascii="Segoe UI" w:eastAsia="MingLiU_HKSCS-ExtB" w:hAnsi="Segoe UI" w:cs="Segoe UI"/>
                <w:sz w:val="20"/>
              </w:rPr>
              <w:t>Attend regional meetings</w:t>
            </w:r>
          </w:p>
          <w:p w:rsidR="00A6797D" w:rsidRDefault="00A6797D" w:rsidP="003246A2">
            <w:pPr>
              <w:pStyle w:val="ListParagraph"/>
              <w:numPr>
                <w:ilvl w:val="0"/>
                <w:numId w:val="1"/>
              </w:numPr>
              <w:rPr>
                <w:rFonts w:ascii="Segoe UI" w:eastAsia="MingLiU_HKSCS-ExtB" w:hAnsi="Segoe UI" w:cs="Segoe UI"/>
                <w:sz w:val="20"/>
              </w:rPr>
            </w:pPr>
            <w:r w:rsidRPr="00A6797D">
              <w:rPr>
                <w:rFonts w:ascii="Segoe UI" w:eastAsia="MingLiU_HKSCS-ExtB" w:hAnsi="Segoe UI" w:cs="Segoe UI"/>
                <w:sz w:val="20"/>
              </w:rPr>
              <w:t>Subscribe to knowledge hub</w:t>
            </w:r>
          </w:p>
          <w:p w:rsidR="00A6797D" w:rsidRDefault="00A6797D" w:rsidP="003246A2">
            <w:pPr>
              <w:pStyle w:val="ListParagraph"/>
              <w:numPr>
                <w:ilvl w:val="0"/>
                <w:numId w:val="1"/>
              </w:numPr>
              <w:rPr>
                <w:rFonts w:ascii="Segoe UI" w:eastAsia="MingLiU_HKSCS-ExtB" w:hAnsi="Segoe UI" w:cs="Segoe UI"/>
                <w:sz w:val="20"/>
              </w:rPr>
            </w:pPr>
            <w:r w:rsidRPr="00A6797D">
              <w:rPr>
                <w:rFonts w:ascii="Segoe UI" w:eastAsia="MingLiU_HKSCS-ExtB" w:hAnsi="Segoe UI" w:cs="Segoe UI"/>
                <w:sz w:val="20"/>
              </w:rPr>
              <w:t>Subscribe to HMRC pension tax updates</w:t>
            </w:r>
          </w:p>
          <w:p w:rsidR="00A6797D" w:rsidRDefault="00A6797D" w:rsidP="003246A2">
            <w:pPr>
              <w:pStyle w:val="ListParagraph"/>
              <w:numPr>
                <w:ilvl w:val="0"/>
                <w:numId w:val="1"/>
              </w:num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Pension board involvement</w:t>
            </w:r>
          </w:p>
          <w:p w:rsidR="00A6797D" w:rsidRPr="00A6797D" w:rsidRDefault="00A6797D" w:rsidP="003246A2">
            <w:pPr>
              <w:pStyle w:val="ListParagraph"/>
              <w:numPr>
                <w:ilvl w:val="0"/>
                <w:numId w:val="1"/>
              </w:numPr>
              <w:rPr>
                <w:rFonts w:ascii="Segoe UI" w:eastAsia="MingLiU_HKSCS-ExtB" w:hAnsi="Segoe UI" w:cs="Segoe UI"/>
                <w:sz w:val="20"/>
              </w:rPr>
            </w:pPr>
            <w:r>
              <w:rPr>
                <w:rFonts w:ascii="Segoe UI" w:eastAsia="MingLiU_HKSCS-ExtB" w:hAnsi="Segoe UI" w:cs="Segoe UI"/>
                <w:sz w:val="20"/>
              </w:rPr>
              <w:t>Access professional advice before proceeding</w:t>
            </w:r>
          </w:p>
        </w:tc>
        <w:tc>
          <w:tcPr>
            <w:tcW w:w="1275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18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</w:rPr>
            </w:pPr>
          </w:p>
        </w:tc>
      </w:tr>
    </w:tbl>
    <w:p w:rsidR="00713FFE" w:rsidRDefault="00713FFE">
      <w:pPr>
        <w:rPr>
          <w:rFonts w:ascii="Segoe UI" w:eastAsia="MingLiU_HKSCS-ExtB" w:hAnsi="Segoe UI" w:cs="Segoe UI"/>
          <w:color w:val="7030A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  <w:gridCol w:w="3686"/>
        <w:gridCol w:w="1275"/>
        <w:gridCol w:w="993"/>
        <w:gridCol w:w="2754"/>
      </w:tblGrid>
      <w:tr w:rsidR="003246A2" w:rsidRPr="00AD2CD4" w:rsidTr="00A6797D">
        <w:tc>
          <w:tcPr>
            <w:tcW w:w="2405" w:type="dxa"/>
            <w:shd w:val="clear" w:color="auto" w:fill="DAC2EC"/>
          </w:tcPr>
          <w:p w:rsidR="003246A2" w:rsidRDefault="003246A2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 xml:space="preserve">Risk Area – </w:t>
            </w:r>
          </w:p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FUNDING</w:t>
            </w:r>
          </w:p>
        </w:tc>
        <w:tc>
          <w:tcPr>
            <w:tcW w:w="992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  <w:sz w:val="14"/>
                <w:szCs w:val="14"/>
              </w:rPr>
            </w:pPr>
            <w:r w:rsidRPr="00AD2CD4">
              <w:rPr>
                <w:rFonts w:ascii="Segoe UI" w:eastAsia="MingLiU_HKSCS-ExtB" w:hAnsi="Segoe UI" w:cs="Segoe UI"/>
                <w:b/>
                <w:sz w:val="14"/>
                <w:szCs w:val="14"/>
              </w:rPr>
              <w:t>Likelihood</w:t>
            </w:r>
          </w:p>
        </w:tc>
        <w:tc>
          <w:tcPr>
            <w:tcW w:w="993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Impact</w:t>
            </w:r>
          </w:p>
        </w:tc>
        <w:tc>
          <w:tcPr>
            <w:tcW w:w="850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Score</w:t>
            </w:r>
          </w:p>
        </w:tc>
        <w:tc>
          <w:tcPr>
            <w:tcW w:w="3686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Control</w:t>
            </w:r>
          </w:p>
        </w:tc>
        <w:tc>
          <w:tcPr>
            <w:tcW w:w="1275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Owner</w:t>
            </w:r>
          </w:p>
        </w:tc>
        <w:tc>
          <w:tcPr>
            <w:tcW w:w="993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Test / Review</w:t>
            </w:r>
          </w:p>
        </w:tc>
        <w:tc>
          <w:tcPr>
            <w:tcW w:w="2754" w:type="dxa"/>
            <w:shd w:val="clear" w:color="auto" w:fill="DAC2EC"/>
          </w:tcPr>
          <w:p w:rsidR="003246A2" w:rsidRPr="00AD2CD4" w:rsidRDefault="003246A2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Comments</w:t>
            </w:r>
          </w:p>
        </w:tc>
      </w:tr>
      <w:tr w:rsidR="00D34353" w:rsidRPr="00B97650" w:rsidTr="003246A2">
        <w:tc>
          <w:tcPr>
            <w:tcW w:w="2405" w:type="dxa"/>
            <w:shd w:val="clear" w:color="auto" w:fill="auto"/>
          </w:tcPr>
          <w:p w:rsidR="00D34353" w:rsidRPr="00B97650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Failure to deduct correct contributions from pay</w:t>
            </w:r>
          </w:p>
        </w:tc>
        <w:tc>
          <w:tcPr>
            <w:tcW w:w="992" w:type="dxa"/>
            <w:shd w:val="clear" w:color="auto" w:fill="auto"/>
          </w:tcPr>
          <w:p w:rsidR="00D34353" w:rsidRPr="00B97650" w:rsidRDefault="00D34353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34353" w:rsidRPr="00B97650" w:rsidRDefault="00D34353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34353" w:rsidRPr="00B97650" w:rsidRDefault="00D34353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D34353" w:rsidRPr="00B97650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4353" w:rsidRPr="00B97650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4353" w:rsidRPr="00B97650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34353" w:rsidRPr="00B97650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  <w:tr w:rsidR="003246A2" w:rsidRPr="00B97650" w:rsidTr="00D34353">
        <w:tc>
          <w:tcPr>
            <w:tcW w:w="2405" w:type="dxa"/>
            <w:shd w:val="clear" w:color="auto" w:fill="F2EBF9"/>
          </w:tcPr>
          <w:p w:rsidR="003246A2" w:rsidRPr="00B97650" w:rsidRDefault="003246A2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Failure of employer to pay contributions to the scheme</w:t>
            </w:r>
          </w:p>
        </w:tc>
        <w:tc>
          <w:tcPr>
            <w:tcW w:w="992" w:type="dxa"/>
            <w:shd w:val="clear" w:color="auto" w:fill="F2EBF9"/>
          </w:tcPr>
          <w:p w:rsidR="003246A2" w:rsidRPr="00B97650" w:rsidRDefault="003246A2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EBF9"/>
          </w:tcPr>
          <w:p w:rsidR="003246A2" w:rsidRPr="00B97650" w:rsidRDefault="003246A2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2EBF9"/>
          </w:tcPr>
          <w:p w:rsidR="003246A2" w:rsidRPr="00B97650" w:rsidRDefault="003246A2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F2EBF9"/>
          </w:tcPr>
          <w:p w:rsidR="003246A2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 xml:space="preserve">Pension deductions are accounted for by the FRA and therefore contributions are deducted directly from employee pay and accounted for in the pension fund account. </w:t>
            </w:r>
          </w:p>
        </w:tc>
        <w:tc>
          <w:tcPr>
            <w:tcW w:w="1275" w:type="dxa"/>
            <w:shd w:val="clear" w:color="auto" w:fill="F2EBF9"/>
          </w:tcPr>
          <w:p w:rsidR="003246A2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Finance / Treasurer</w:t>
            </w:r>
          </w:p>
        </w:tc>
        <w:tc>
          <w:tcPr>
            <w:tcW w:w="993" w:type="dxa"/>
            <w:shd w:val="clear" w:color="auto" w:fill="F2EBF9"/>
          </w:tcPr>
          <w:p w:rsidR="003246A2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Monthly</w:t>
            </w:r>
          </w:p>
        </w:tc>
        <w:tc>
          <w:tcPr>
            <w:tcW w:w="2754" w:type="dxa"/>
            <w:shd w:val="clear" w:color="auto" w:fill="F2EBF9"/>
          </w:tcPr>
          <w:p w:rsidR="003246A2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 w:rsidRPr="00B97650">
              <w:rPr>
                <w:rFonts w:ascii="Segoe UI" w:eastAsia="MingLiU_HKSCS-ExtB" w:hAnsi="Segoe UI" w:cs="Segoe UI"/>
                <w:sz w:val="20"/>
                <w:szCs w:val="20"/>
              </w:rPr>
              <w:t>Monthly checks are conducted on this by the Finance team.</w:t>
            </w:r>
          </w:p>
        </w:tc>
      </w:tr>
      <w:tr w:rsidR="00B97650" w:rsidRPr="00B97650" w:rsidTr="003246A2">
        <w:tc>
          <w:tcPr>
            <w:tcW w:w="240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Failure to manage FPS fund correctly i.e. injury pension accounting</w:t>
            </w:r>
          </w:p>
        </w:tc>
        <w:tc>
          <w:tcPr>
            <w:tcW w:w="992" w:type="dxa"/>
            <w:shd w:val="clear" w:color="auto" w:fill="auto"/>
          </w:tcPr>
          <w:p w:rsidR="00B97650" w:rsidRPr="00B97650" w:rsidRDefault="00B97650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7650" w:rsidRPr="00B97650" w:rsidRDefault="00B97650" w:rsidP="003246A2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Training – Guidance</w:t>
            </w:r>
          </w:p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Fire Finance network links</w:t>
            </w:r>
          </w:p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</w:tbl>
    <w:p w:rsidR="003246A2" w:rsidRDefault="003246A2">
      <w:pPr>
        <w:rPr>
          <w:rFonts w:ascii="Segoe UI" w:eastAsia="MingLiU_HKSCS-ExtB" w:hAnsi="Segoe UI" w:cs="Segoe UI"/>
          <w:color w:val="7030A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  <w:gridCol w:w="3686"/>
        <w:gridCol w:w="1275"/>
        <w:gridCol w:w="993"/>
        <w:gridCol w:w="2754"/>
      </w:tblGrid>
      <w:tr w:rsidR="00B97650" w:rsidRPr="00AD2CD4" w:rsidTr="00A6797D">
        <w:tc>
          <w:tcPr>
            <w:tcW w:w="2405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Risk Area – REGULATORY AND COMPLIANCE</w:t>
            </w:r>
          </w:p>
        </w:tc>
        <w:tc>
          <w:tcPr>
            <w:tcW w:w="992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  <w:sz w:val="14"/>
                <w:szCs w:val="14"/>
              </w:rPr>
            </w:pPr>
            <w:r w:rsidRPr="00AD2CD4">
              <w:rPr>
                <w:rFonts w:ascii="Segoe UI" w:eastAsia="MingLiU_HKSCS-ExtB" w:hAnsi="Segoe UI" w:cs="Segoe UI"/>
                <w:b/>
                <w:sz w:val="14"/>
                <w:szCs w:val="14"/>
              </w:rPr>
              <w:t>Likelihood</w:t>
            </w:r>
          </w:p>
        </w:tc>
        <w:tc>
          <w:tcPr>
            <w:tcW w:w="993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Impact</w:t>
            </w:r>
          </w:p>
        </w:tc>
        <w:tc>
          <w:tcPr>
            <w:tcW w:w="850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  <w:sz w:val="16"/>
              </w:rPr>
            </w:pPr>
            <w:r w:rsidRPr="00AD2CD4">
              <w:rPr>
                <w:rFonts w:ascii="Segoe UI" w:eastAsia="MingLiU_HKSCS-ExtB" w:hAnsi="Segoe UI" w:cs="Segoe UI"/>
                <w:b/>
                <w:sz w:val="16"/>
              </w:rPr>
              <w:t>Score</w:t>
            </w:r>
          </w:p>
        </w:tc>
        <w:tc>
          <w:tcPr>
            <w:tcW w:w="3686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Control</w:t>
            </w:r>
          </w:p>
        </w:tc>
        <w:tc>
          <w:tcPr>
            <w:tcW w:w="1275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Owner</w:t>
            </w:r>
          </w:p>
        </w:tc>
        <w:tc>
          <w:tcPr>
            <w:tcW w:w="993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Test / Review</w:t>
            </w:r>
          </w:p>
        </w:tc>
        <w:tc>
          <w:tcPr>
            <w:tcW w:w="2754" w:type="dxa"/>
            <w:shd w:val="clear" w:color="auto" w:fill="DAC2EC"/>
          </w:tcPr>
          <w:p w:rsidR="00B97650" w:rsidRPr="00AD2CD4" w:rsidRDefault="00B97650" w:rsidP="00A6797D">
            <w:pPr>
              <w:rPr>
                <w:rFonts w:ascii="Segoe UI" w:eastAsia="MingLiU_HKSCS-ExtB" w:hAnsi="Segoe UI" w:cs="Segoe UI"/>
                <w:b/>
              </w:rPr>
            </w:pPr>
            <w:r>
              <w:rPr>
                <w:rFonts w:ascii="Segoe UI" w:eastAsia="MingLiU_HKSCS-ExtB" w:hAnsi="Segoe UI" w:cs="Segoe UI"/>
                <w:b/>
              </w:rPr>
              <w:t>Comments</w:t>
            </w:r>
          </w:p>
        </w:tc>
      </w:tr>
      <w:tr w:rsidR="00B97650" w:rsidRPr="00B97650" w:rsidTr="00B97650">
        <w:tc>
          <w:tcPr>
            <w:tcW w:w="2405" w:type="dxa"/>
            <w:vMerge w:val="restart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Failure to interpret rules or legislation correctly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7650" w:rsidRP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7650" w:rsidRP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7650" w:rsidRP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 xml:space="preserve">Central LGA resource and regional / national groups to assist with </w:t>
            </w:r>
            <w:r>
              <w:rPr>
                <w:rFonts w:ascii="Segoe UI" w:eastAsia="MingLiU_HKSCS-ExtB" w:hAnsi="Segoe UI" w:cs="Segoe UI"/>
                <w:sz w:val="20"/>
                <w:szCs w:val="20"/>
              </w:rPr>
              <w:lastRenderedPageBreak/>
              <w:t xml:space="preserve">interpretation of rules and possible provision of legal opinion where this has been sought – with the caveat that each FRA should take own legal advice. </w:t>
            </w: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  <w:tr w:rsidR="00B97650" w:rsidRPr="00B97650" w:rsidTr="00B97650">
        <w:tc>
          <w:tcPr>
            <w:tcW w:w="2405" w:type="dxa"/>
            <w:vMerge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Technical team of pension provider</w:t>
            </w: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  <w:tr w:rsidR="00B97650" w:rsidRPr="00B97650" w:rsidTr="00B97650">
        <w:tc>
          <w:tcPr>
            <w:tcW w:w="2405" w:type="dxa"/>
            <w:vMerge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Access to knowledge hub and HMRC pension tax updates</w:t>
            </w: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  <w:tr w:rsidR="00B97650" w:rsidRPr="00B97650" w:rsidTr="00B97650">
        <w:tc>
          <w:tcPr>
            <w:tcW w:w="2405" w:type="dxa"/>
            <w:vMerge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Training</w:t>
            </w: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  <w:tr w:rsidR="00B97650" w:rsidRPr="00B97650" w:rsidTr="00B97650">
        <w:tc>
          <w:tcPr>
            <w:tcW w:w="2405" w:type="dxa"/>
            <w:vMerge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Access professional legal / tax advice where necessary</w:t>
            </w: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  <w:tr w:rsidR="00B97650" w:rsidRPr="00B97650" w:rsidTr="00B97650">
        <w:tc>
          <w:tcPr>
            <w:tcW w:w="2405" w:type="dxa"/>
            <w:shd w:val="clear" w:color="auto" w:fill="auto"/>
          </w:tcPr>
          <w:p w:rsidR="00B97650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Failure to comply with disclosure requirements or communicate with staff</w:t>
            </w:r>
          </w:p>
        </w:tc>
        <w:tc>
          <w:tcPr>
            <w:tcW w:w="992" w:type="dxa"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7650" w:rsidRDefault="00B97650" w:rsidP="00B97650">
            <w:pPr>
              <w:jc w:val="center"/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IDRP process …..</w:t>
            </w:r>
          </w:p>
          <w:p w:rsidR="00A6797D" w:rsidRDefault="00A6797D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Communications with staff</w:t>
            </w:r>
          </w:p>
          <w:p w:rsidR="00D34353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ABS</w:t>
            </w:r>
          </w:p>
          <w:p w:rsidR="00D34353" w:rsidRDefault="00D34353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  <w:r>
              <w:rPr>
                <w:rFonts w:ascii="Segoe UI" w:eastAsia="MingLiU_HKSCS-ExtB" w:hAnsi="Segoe UI" w:cs="Segoe UI"/>
                <w:sz w:val="20"/>
                <w:szCs w:val="20"/>
              </w:rPr>
              <w:t>HR processes in place for auto-enrolment and annual pension band changes mail merges</w:t>
            </w:r>
          </w:p>
        </w:tc>
        <w:tc>
          <w:tcPr>
            <w:tcW w:w="1275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B97650" w:rsidRPr="00B97650" w:rsidRDefault="00B97650" w:rsidP="00A6797D">
            <w:pPr>
              <w:rPr>
                <w:rFonts w:ascii="Segoe UI" w:eastAsia="MingLiU_HKSCS-ExtB" w:hAnsi="Segoe UI" w:cs="Segoe UI"/>
                <w:sz w:val="20"/>
                <w:szCs w:val="20"/>
              </w:rPr>
            </w:pPr>
          </w:p>
        </w:tc>
      </w:tr>
    </w:tbl>
    <w:p w:rsidR="00B97650" w:rsidRPr="00AD2CD4" w:rsidRDefault="00B97650">
      <w:pPr>
        <w:rPr>
          <w:rFonts w:ascii="Segoe UI" w:eastAsia="MingLiU_HKSCS-ExtB" w:hAnsi="Segoe UI" w:cs="Segoe UI"/>
          <w:color w:val="7030A0"/>
        </w:rPr>
      </w:pPr>
    </w:p>
    <w:sectPr w:rsidR="00B97650" w:rsidRPr="00AD2CD4" w:rsidSect="00AD2CD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E9" w:rsidRDefault="009117E9" w:rsidP="009117E9">
      <w:pPr>
        <w:spacing w:after="0" w:line="240" w:lineRule="auto"/>
      </w:pPr>
      <w:r>
        <w:separator/>
      </w:r>
    </w:p>
  </w:endnote>
  <w:endnote w:type="continuationSeparator" w:id="0">
    <w:p w:rsidR="009117E9" w:rsidRDefault="009117E9" w:rsidP="0091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E9" w:rsidRDefault="009117E9">
    <w:pPr>
      <w:pStyle w:val="Footer"/>
    </w:pPr>
    <w:r>
      <w:t>v. 0.1 – July 2017</w:t>
    </w:r>
  </w:p>
  <w:p w:rsidR="009117E9" w:rsidRDefault="00911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E9" w:rsidRDefault="009117E9" w:rsidP="009117E9">
      <w:pPr>
        <w:spacing w:after="0" w:line="240" w:lineRule="auto"/>
      </w:pPr>
      <w:r>
        <w:separator/>
      </w:r>
    </w:p>
  </w:footnote>
  <w:footnote w:type="continuationSeparator" w:id="0">
    <w:p w:rsidR="009117E9" w:rsidRDefault="009117E9" w:rsidP="0091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385659"/>
      <w:docPartObj>
        <w:docPartGallery w:val="Watermarks"/>
        <w:docPartUnique/>
      </w:docPartObj>
    </w:sdtPr>
    <w:sdtEndPr/>
    <w:sdtContent>
      <w:p w:rsidR="009117E9" w:rsidRDefault="00BF1AC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0B5A"/>
    <w:multiLevelType w:val="hybridMultilevel"/>
    <w:tmpl w:val="0D9ED62E"/>
    <w:lvl w:ilvl="0" w:tplc="AD24F2B8">
      <w:start w:val="1"/>
      <w:numFmt w:val="bullet"/>
      <w:lvlText w:val="-"/>
      <w:lvlJc w:val="left"/>
      <w:pPr>
        <w:ind w:left="360" w:hanging="360"/>
      </w:pPr>
      <w:rPr>
        <w:rFonts w:ascii="Segoe UI" w:eastAsia="MingLiU_HKSCS-ExtB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4"/>
    <w:rsid w:val="000835FB"/>
    <w:rsid w:val="003246A2"/>
    <w:rsid w:val="00713FFE"/>
    <w:rsid w:val="009117E9"/>
    <w:rsid w:val="00A6797D"/>
    <w:rsid w:val="00AD2CD4"/>
    <w:rsid w:val="00B97650"/>
    <w:rsid w:val="00BF1ACB"/>
    <w:rsid w:val="00D34353"/>
    <w:rsid w:val="00F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15205F-31DF-4F87-9842-D8CE449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E9"/>
  </w:style>
  <w:style w:type="paragraph" w:styleId="Footer">
    <w:name w:val="footer"/>
    <w:basedOn w:val="Normal"/>
    <w:link w:val="FooterChar"/>
    <w:uiPriority w:val="99"/>
    <w:unhideWhenUsed/>
    <w:rsid w:val="0091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29DCE6AC</Template>
  <TotalTime>1</TotalTime>
  <Pages>4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Swift</dc:creator>
  <cp:keywords/>
  <dc:description/>
  <cp:lastModifiedBy>Clair Alcock</cp:lastModifiedBy>
  <cp:revision>2</cp:revision>
  <dcterms:created xsi:type="dcterms:W3CDTF">2017-08-04T15:08:00Z</dcterms:created>
  <dcterms:modified xsi:type="dcterms:W3CDTF">2017-08-04T15:08:00Z</dcterms:modified>
</cp:coreProperties>
</file>